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i w:val="1"/>
          <w:color w:val="000000"/>
          <w:sz w:val="38"/>
          <w:szCs w:val="38"/>
        </w:rPr>
      </w:pPr>
      <w:r w:rsidDel="00000000" w:rsidR="00000000" w:rsidRPr="00000000">
        <w:rPr>
          <w:b w:val="1"/>
          <w:color w:val="ffffff"/>
          <w:sz w:val="72"/>
          <w:szCs w:val="72"/>
          <w:rtl w:val="0"/>
        </w:rPr>
        <w:t xml:space="preserve"> </w:t>
      </w:r>
      <w:r w:rsidDel="00000000" w:rsidR="00000000" w:rsidRPr="00000000">
        <w:rPr>
          <w:b w:val="1"/>
          <w:color w:val="ffffff"/>
          <w:rtl w:val="0"/>
        </w:rPr>
        <w:t xml:space="preserve"> </w:t>
      </w:r>
      <w:r w:rsidDel="00000000" w:rsidR="00000000" w:rsidRPr="00000000">
        <w:rPr>
          <w:b w:val="1"/>
          <w:color w:val="ffffff"/>
          <w:rtl w:val="0"/>
        </w:rPr>
        <w:t xml:space="preserve">O   </w:t>
      </w:r>
      <w:r w:rsidDel="00000000" w:rsidR="00000000" w:rsidRPr="00000000">
        <w:rPr>
          <w:b w:val="1"/>
          <w:color w:val="000000"/>
          <w:rtl w:val="0"/>
        </w:rPr>
        <w:t xml:space="preserve">range</w:t>
      </w:r>
      <w:r w:rsidDel="00000000" w:rsidR="00000000" w:rsidRPr="00000000">
        <w:rPr>
          <w:b w:val="1"/>
          <w:color w:val="000000"/>
          <w:rtl w:val="0"/>
        </w:rPr>
        <w:t xml:space="preserve"> Keystone Tour Facts: </w:t>
      </w:r>
      <w:r w:rsidDel="00000000" w:rsidR="00000000" w:rsidRPr="00000000">
        <w:rPr>
          <w:i w:val="1"/>
          <w:sz w:val="38"/>
          <w:szCs w:val="38"/>
          <w:rtl w:val="0"/>
        </w:rPr>
        <w:t xml:space="preserve">Old Frick/</w:t>
      </w:r>
      <w:r w:rsidDel="00000000" w:rsidR="00000000" w:rsidRPr="00000000">
        <w:rPr>
          <w:i w:val="1"/>
          <w:sz w:val="38"/>
          <w:szCs w:val="38"/>
          <w:rtl w:val="0"/>
        </w:rPr>
        <w:t xml:space="preserve">JRR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599858" cy="57404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58771" y="3505680"/>
                          <a:ext cx="574458" cy="5486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599858" cy="57404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858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-25399</wp:posOffset>
                </wp:positionV>
                <wp:extent cx="5925820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89440" y="3776190"/>
                          <a:ext cx="5913120" cy="762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-25399</wp:posOffset>
                </wp:positionV>
                <wp:extent cx="5925820" cy="2540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582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Now, we arrive at the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Julis-Romo-Rabinowitz Building.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This building, with a modernized, sleek appearance hybridized by its older gothic remnants, is now home to the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Department of Economics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and houses an array of international and regional initiatives.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However, this once housed Princeton’s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Department of Chemistry,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then referred to as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Frick Laboratory or ‘Old Frick.’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Until the turn of the 21st century when it was deemed too broken down and outdated to support current initiatives (leading to the relocation of Frick Chemistry),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it once supported cutting-edge scientific research, especially in the nuclear field.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lineRule="auto"/>
        <w:ind w:left="144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This department was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major influence in nuclear research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due to its responsibility in investigations of the atom leading to the eventual discovery of the atomic bomb and the department’s participation in the Manhattan Project.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lineRule="auto"/>
        <w:ind w:left="216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letter sent to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university president Harold W. Dodds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by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Columbia University’s president, Frank D. Fackenthal,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helps to anchor this involvement by notifying President Dodds of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commendation by the War Department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and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inviting him to share in the award.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Rule="auto"/>
        <w:ind w:left="144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This also involved the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Analytical Group under N.H. Furman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who wished to develop methods of extracting uranium for the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fabrication of nuclear weapons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while also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accounting for the detection of trace contaminants.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lineRule="auto"/>
        <w:ind w:left="216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Analytical Group worked under a direct contract between Princeton Chemistry and the United States Army, organized under the Manhattan Project.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144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Members of the Department of Chemistry - including N. H. Furman -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maintained direct correspondence with several other major players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in the nuclear weapons research field at the time, including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Argonne National Laboratory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and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Oak Ridge Laboratory.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lineRule="auto"/>
        <w:ind w:left="216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fact,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there exists direct communication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between N. H. Furman and Oak Ridge researchers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stationed at Bikini Atoll during Operation Crossroads.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lineRule="auto"/>
        <w:ind w:left="2160" w:hanging="360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Sources of uranium extracted and analyzed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here were retrieved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directly from mining and ore companies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that had a hand in the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exploitative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labour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of Native Americans,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which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continues to have profound effects on the communities and health of these First Nations to this day.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building’s construction was officially confirmed to begin in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press release on May 18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, 1920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and was completed on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September 26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, 1926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It was planned to provide adequate chemical facilities to a campus which was severely lacking in a facility planned for the purpose of harboring the chemistry department.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This press release also includes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mention of radiation-based research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that would be an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indicator of later atomic discoveries.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What about today?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renovation of ‘Old Frick’ and the subsequent development of the Julis Romo Rabinowitz (JRR) Building is prided on their adherence to new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sustainability standards.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Proposed clean-energy, efficiency, and green applications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are part of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 trend in Princeton’s institutional efforts to adopt sustainability as a core tenet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of its functions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Nevertheless, we should continue 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think critically about the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relationality of this structure for students today,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alongside the role that this structure played in the past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regarding nuclear contamination, nuclear weapons,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and its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intersection with Native involvement.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What does it mean to renovate and reimagine a space that was once associated with the use of science to perpetuate violence?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5324475</wp:posOffset>
                </wp:positionH>
                <wp:positionV relativeFrom="paragraph">
                  <wp:posOffset>990082</wp:posOffset>
                </wp:positionV>
                <wp:extent cx="599858" cy="57404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8771" y="3505680"/>
                          <a:ext cx="574458" cy="5486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5324475</wp:posOffset>
                </wp:positionH>
                <wp:positionV relativeFrom="paragraph">
                  <wp:posOffset>990082</wp:posOffset>
                </wp:positionV>
                <wp:extent cx="599858" cy="57404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858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476768</wp:posOffset>
                </wp:positionV>
                <wp:extent cx="592582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89440" y="3776190"/>
                          <a:ext cx="5913120" cy="762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9526</wp:posOffset>
                </wp:positionH>
                <wp:positionV relativeFrom="paragraph">
                  <wp:posOffset>476768</wp:posOffset>
                </wp:positionV>
                <wp:extent cx="5925820" cy="254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582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E030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8E0304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03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E030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8E030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EiCcvsfFpcADe4+zPSgHYR0Qw==">AMUW2mVhVnQRJIMm1AVhiF5VHLCKAPRuHh3249uc61Arth3m3SzUVM+yx/KuqlFeQ7MMVugAdyIOzyHTqg1R4huYpK/zKQ0RWN4HD3VeBipba9eQXAFPkR4=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2022-05-02T18:00:00Z</dcterms:created>
  <dc:creator>Matthew D. Ciccone</dc:creator>
</cp:coreProperties>
</file>